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BE7B58" w:rsidRPr="00E17541" w:rsidTr="00BE7B58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B58" w:rsidRPr="00E17541" w:rsidRDefault="00BE7B58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BE7B58" w:rsidRPr="00E17541" w:rsidTr="00B160AD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B58" w:rsidRPr="00E17541" w:rsidRDefault="00BE7B58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 xml:space="preserve">Cláusula 3.1.33.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“D</w:t>
            </w:r>
            <w:r w:rsidRPr="00E17541">
              <w:rPr>
                <w:rFonts w:ascii="Times" w:hAnsi="Times" w:cs="Times New Roman"/>
                <w:i/>
                <w:color w:val="auto"/>
              </w:rPr>
              <w:t>ar conhecimento à ANAC das alterações das condições do financiamento referido no item 3.1.32, assim como da contratação de qualquer novo financiamento, sendo vedada:”</w:t>
            </w:r>
            <w:r w:rsidRPr="00E17541">
              <w:rPr>
                <w:rFonts w:ascii="Times" w:hAnsi="Times" w:cs="Times New Roman"/>
                <w:color w:val="auto"/>
              </w:rPr>
              <w:t xml:space="preserve"> </w:t>
            </w:r>
          </w:p>
          <w:p w:rsidR="00BE7B58" w:rsidRPr="00E17541" w:rsidRDefault="00BE7B58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</w:p>
          <w:p w:rsidR="00BE7B58" w:rsidRPr="00E17541" w:rsidRDefault="00BE7B58" w:rsidP="00B160A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" w:eastAsiaTheme="minorHAnsi" w:hAnsi="Times"/>
                <w:lang w:eastAsia="en-US"/>
              </w:rPr>
            </w:pPr>
            <w:r w:rsidRPr="00E17541">
              <w:rPr>
                <w:rFonts w:ascii="Times" w:hAnsi="Times"/>
                <w:b/>
              </w:rPr>
              <w:t xml:space="preserve">Cláusula </w:t>
            </w:r>
            <w:r w:rsidRPr="00E17541">
              <w:rPr>
                <w:rFonts w:ascii="Times" w:eastAsiaTheme="minorHAnsi" w:hAnsi="Times"/>
                <w:b/>
                <w:lang w:eastAsia="en-US"/>
              </w:rPr>
              <w:t>3.1.33.1.</w:t>
            </w:r>
            <w:r w:rsidRPr="00E17541">
              <w:rPr>
                <w:rFonts w:ascii="Times" w:eastAsiaTheme="minorHAnsi" w:hAnsi="Times"/>
                <w:lang w:eastAsia="en-US"/>
              </w:rPr>
              <w:t xml:space="preserve"> </w:t>
            </w:r>
            <w:r w:rsidRPr="00E17541">
              <w:rPr>
                <w:rFonts w:ascii="Times" w:eastAsiaTheme="minorHAnsi" w:hAnsi="Times"/>
                <w:i/>
                <w:lang w:eastAsia="en-US"/>
              </w:rPr>
              <w:t>“A concessão de empréstimos, financiamentos e/ou qualquer outra forma de transferência de recursos para seus acionistas e/ou Partes Relacionadas, exceto transferência de recursos a título de distribuição de dividendos, juros sobre capital próprio e/ou pagamentos pela contratação de obras e serviços celebrada em condições equitativas de mercado; e</w:t>
            </w:r>
            <w:proofErr w:type="gramStart"/>
            <w:r w:rsidRPr="00E17541">
              <w:rPr>
                <w:rFonts w:ascii="Times" w:eastAsiaTheme="minorHAnsi" w:hAnsi="Times"/>
                <w:i/>
                <w:lang w:eastAsia="en-US"/>
              </w:rPr>
              <w:t>”</w:t>
            </w:r>
            <w:proofErr w:type="gramEnd"/>
            <w:r w:rsidRPr="00E17541">
              <w:rPr>
                <w:rFonts w:ascii="Times" w:eastAsiaTheme="minorHAnsi" w:hAnsi="Times"/>
                <w:lang w:eastAsia="en-US"/>
              </w:rPr>
              <w:t xml:space="preserve"> </w:t>
            </w:r>
          </w:p>
          <w:p w:rsidR="00BE7B58" w:rsidRPr="00E17541" w:rsidRDefault="00BE7B58" w:rsidP="00B160AD">
            <w:pPr>
              <w:pStyle w:val="Default"/>
              <w:spacing w:line="320" w:lineRule="exact"/>
              <w:rPr>
                <w:rFonts w:ascii="Times" w:eastAsia="Times New Roman" w:hAnsi="Times" w:cs="Times New Roman"/>
                <w:color w:val="auto"/>
                <w:lang w:eastAsia="pt-BR"/>
              </w:rPr>
            </w:pPr>
          </w:p>
        </w:tc>
      </w:tr>
      <w:tr w:rsidR="00BE7B58" w:rsidRPr="00E17541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B58" w:rsidRPr="00E17541" w:rsidRDefault="00BE7B58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BE7B58" w:rsidRPr="00E17541" w:rsidTr="00B160AD">
        <w:trPr>
          <w:trHeight w:val="5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B58" w:rsidRPr="00E17541" w:rsidRDefault="00BE7B58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 xml:space="preserve">Cláusula 3.1.33.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“D</w:t>
            </w:r>
            <w:r w:rsidRPr="00E17541">
              <w:rPr>
                <w:rFonts w:ascii="Times" w:hAnsi="Times" w:cs="Times New Roman"/>
                <w:i/>
                <w:color w:val="auto"/>
              </w:rPr>
              <w:t>ar conhecimento à ANAC das alterações das condições do financiamento referido no item 3.1.32, assim como da contratação de qualquer novo financiamento, sendo vedada:”</w:t>
            </w:r>
            <w:r w:rsidRPr="00E17541">
              <w:rPr>
                <w:rFonts w:ascii="Times" w:hAnsi="Times" w:cs="Times New Roman"/>
                <w:color w:val="auto"/>
              </w:rPr>
              <w:t xml:space="preserve"> </w:t>
            </w:r>
          </w:p>
          <w:p w:rsidR="00BE7B58" w:rsidRPr="00E17541" w:rsidRDefault="00BE7B58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</w:p>
          <w:p w:rsidR="00BE7B58" w:rsidRPr="00E17541" w:rsidRDefault="00BE7B58" w:rsidP="00B160A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" w:hAnsi="Times"/>
                <w:i/>
              </w:rPr>
            </w:pPr>
            <w:r w:rsidRPr="00E17541">
              <w:rPr>
                <w:rFonts w:ascii="Times" w:hAnsi="Times"/>
                <w:b/>
              </w:rPr>
              <w:t xml:space="preserve">Cláusula </w:t>
            </w:r>
            <w:r w:rsidRPr="00E17541">
              <w:rPr>
                <w:rFonts w:ascii="Times" w:eastAsiaTheme="minorHAnsi" w:hAnsi="Times"/>
                <w:b/>
                <w:lang w:eastAsia="en-US"/>
              </w:rPr>
              <w:t>3.1.33.1.</w:t>
            </w:r>
            <w:r w:rsidRPr="00E17541">
              <w:rPr>
                <w:rFonts w:ascii="Times" w:eastAsiaTheme="minorHAnsi" w:hAnsi="Times"/>
                <w:lang w:eastAsia="en-US"/>
              </w:rPr>
              <w:t xml:space="preserve"> </w:t>
            </w:r>
            <w:r w:rsidRPr="00E17541">
              <w:rPr>
                <w:rFonts w:ascii="Times" w:eastAsiaTheme="minorHAnsi" w:hAnsi="Times"/>
                <w:i/>
                <w:lang w:eastAsia="en-US"/>
              </w:rPr>
              <w:t>“A concessão de empréstimos, financiamentos e/ou qualquer outra forma de transferência de recursos para seus acionistas e/ou Partes Relacionadas, inclusive por intermédio de contratação de serviços de operação aeroportuária, exceto transferência de recursos a título de distribuição de dividendos, juros sobre capital próprio e/ou pagamentos pela contratação de obras e serviços celebrada em condições equitativas de mercado; e</w:t>
            </w:r>
            <w:proofErr w:type="gramStart"/>
            <w:r w:rsidRPr="00E17541">
              <w:rPr>
                <w:rFonts w:ascii="Times" w:eastAsiaTheme="minorHAnsi" w:hAnsi="Times"/>
                <w:i/>
                <w:lang w:eastAsia="en-US"/>
              </w:rPr>
              <w:t>”</w:t>
            </w:r>
            <w:proofErr w:type="gramEnd"/>
            <w:r w:rsidRPr="00E17541">
              <w:rPr>
                <w:rFonts w:ascii="Times" w:eastAsiaTheme="minorHAnsi" w:hAnsi="Times"/>
                <w:lang w:eastAsia="en-US"/>
              </w:rPr>
              <w:t xml:space="preserve"> </w:t>
            </w:r>
          </w:p>
        </w:tc>
      </w:tr>
      <w:tr w:rsidR="00BE7B58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B58" w:rsidRPr="00E17541" w:rsidRDefault="00BE7B58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JUSTIFICATIVA</w:t>
            </w:r>
          </w:p>
        </w:tc>
      </w:tr>
      <w:tr w:rsidR="00BE7B58" w:rsidRPr="00E17541" w:rsidTr="00B160AD">
        <w:trPr>
          <w:trHeight w:val="6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B58" w:rsidRPr="00E17541" w:rsidRDefault="00BE7B58" w:rsidP="00B160AD">
            <w:pPr>
              <w:pStyle w:val="Default"/>
              <w:tabs>
                <w:tab w:val="left" w:pos="34"/>
                <w:tab w:val="left" w:pos="459"/>
              </w:tabs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hAnsi="Times" w:cs="Times New Roman"/>
                <w:color w:val="auto"/>
              </w:rPr>
              <w:t xml:space="preserve">Considerando que o Edital exige que o operador aeroportuário habilitado tecnicamente seja acionista com participação mínima de 25% no acionista privado, garantindo que os serviços concedidos sejam prestados por operador que efetivamente possui a expertise requerida no Edital, </w:t>
            </w:r>
            <w:proofErr w:type="gramStart"/>
            <w:r w:rsidRPr="00E17541">
              <w:rPr>
                <w:rFonts w:ascii="Times" w:hAnsi="Times" w:cs="Times New Roman"/>
                <w:color w:val="auto"/>
              </w:rPr>
              <w:t>a</w:t>
            </w:r>
            <w:proofErr w:type="gramEnd"/>
            <w:r w:rsidRPr="00E17541">
              <w:rPr>
                <w:rFonts w:ascii="Times" w:hAnsi="Times" w:cs="Times New Roman"/>
                <w:color w:val="auto"/>
              </w:rPr>
              <w:t xml:space="preserve"> alteração proposta visa esclarecer que não será admitida a subcontratação pela concessionária do serviço de operação aeroportuária, coadunando-se com a sistemática adotada no Edital e Contrato de Concessão, bem como com o artigo 25, § 1° da Lei Federal n.° 8.987/95. </w:t>
            </w:r>
          </w:p>
        </w:tc>
      </w:tr>
    </w:tbl>
    <w:p w:rsidR="00065EBC" w:rsidRDefault="00065EBC"/>
    <w:sectPr w:rsidR="00065EBC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65EBC"/>
    <w:rsid w:val="000D0EA1"/>
    <w:rsid w:val="00594B5F"/>
    <w:rsid w:val="007D6F26"/>
    <w:rsid w:val="008804F2"/>
    <w:rsid w:val="00A41A73"/>
    <w:rsid w:val="00A60085"/>
    <w:rsid w:val="00BE7B58"/>
    <w:rsid w:val="00C0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E7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2013-06-28T20:05:00Z</dcterms:created>
  <dcterms:modified xsi:type="dcterms:W3CDTF">2013-06-28T20:05:00Z</dcterms:modified>
</cp:coreProperties>
</file>